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>
          <w:rFonts w:ascii="Calibri" w:cs="Calibri" w:eastAsia="Calibri" w:hAnsi="Calibri"/>
          <w:sz w:val="18"/>
          <w:szCs w:val="18"/>
        </w:rPr>
      </w:pPr>
      <w:bookmarkStart w:colFirst="0" w:colLast="0" w:name="_y0j4tzmod7fz" w:id="0"/>
      <w:bookmarkEnd w:id="0"/>
      <w:r w:rsidDel="00000000" w:rsidR="00000000" w:rsidRPr="00000000">
        <w:rPr>
          <w:rtl w:val="0"/>
        </w:rPr>
        <w:t xml:space="preserve">LITERACY INSTRUCTIONAL GOALS</w:t>
      </w:r>
      <w:r w:rsidDel="00000000" w:rsidR="00000000" w:rsidRPr="00000000">
        <w:rPr>
          <w:rtl w:val="0"/>
        </w:rPr>
      </w:r>
    </w:p>
    <w:tbl>
      <w:tblPr>
        <w:tblStyle w:val="Table1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These are practices that we will look for in classrooms, as they support students’ literate disciplinary thinking in middle and high school.</w:t>
            </w:r>
          </w:p>
        </w:tc>
      </w:tr>
    </w:tbl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widowControl w:val="0"/>
              <w:rPr/>
            </w:pPr>
            <w:bookmarkStart w:colFirst="0" w:colLast="0" w:name="_78u9eqlbo49" w:id="1"/>
            <w:bookmarkEnd w:id="1"/>
            <w:r w:rsidDel="00000000" w:rsidR="00000000" w:rsidRPr="00000000">
              <w:rPr>
                <w:rtl w:val="0"/>
              </w:rPr>
              <w:t xml:space="preserve">DISCIPLINARY COMPREHENSION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12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will…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35.99999999999994" w:lineRule="auto"/>
        <w:ind w:left="3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purpose with authentic inquiry and tasks: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35.99999999999994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Assumptions of the discipline and/or subdiscipline are made explicit.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35.99999999999994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Connections to “thinking like” made explicit.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35.99999999999994" w:lineRule="auto"/>
        <w:ind w:left="144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Explicit reference to and discussion of the tools of a discipline.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35.99999999999994" w:lineRule="auto"/>
        <w:ind w:left="3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Model literate disciplinary thinking.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35.99999999999994" w:lineRule="auto"/>
        <w:ind w:left="36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Scaffold literate disciplinary thinking for students.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widowControl w:val="0"/>
              <w:rPr/>
            </w:pPr>
            <w:bookmarkStart w:colFirst="0" w:colLast="0" w:name="_oyv6iitl5sg8" w:id="2"/>
            <w:bookmarkEnd w:id="2"/>
            <w:r w:rsidDel="00000000" w:rsidR="00000000" w:rsidRPr="00000000">
              <w:rPr>
                <w:rtl w:val="0"/>
              </w:rPr>
              <w:t xml:space="preserve">ACADEMIC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12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will…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35.99999999999994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Reference and support school-wide general academic words.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35.99999999999994" w:lineRule="auto"/>
        <w:ind w:left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explicit vocabulary instruction using adapted strategies: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35.9999999999999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Word study with focus on morphology and polysemy.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35.9999999999999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Connecting “signal words” to text structure and argumentation.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adapted sentence stems.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1"/>
              <w:widowControl w:val="0"/>
              <w:rPr/>
            </w:pPr>
            <w:bookmarkStart w:colFirst="0" w:colLast="0" w:name="_bgyl1owz88hn" w:id="3"/>
            <w:bookmarkEnd w:id="3"/>
            <w:r w:rsidDel="00000000" w:rsidR="00000000" w:rsidRPr="00000000">
              <w:rPr>
                <w:rtl w:val="0"/>
              </w:rPr>
              <w:t xml:space="preserve">DEBATE AND DISCUSSION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12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will…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35.99999999999994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support for participation: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35.9999999999999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 classroom norms that are conducive to academic discussion.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35.99999999999994" w:lineRule="auto"/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Set up the classroom in ways that allow for flexible grouping.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35.99999999999994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Monitor and support engagement.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35.99999999999994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talk moves (open-ended questions, wait time, extensions etc.) to facilitate rich whole class discussion.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35.99999999999994" w:lineRule="auto"/>
        <w:ind w:left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discussion protocols to support varied discussion structures.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1"/>
              <w:widowControl w:val="0"/>
              <w:rPr/>
            </w:pPr>
            <w:bookmarkStart w:colFirst="0" w:colLast="0" w:name="_dn5zq3z5qrr" w:id="4"/>
            <w:bookmarkEnd w:id="4"/>
            <w:r w:rsidDel="00000000" w:rsidR="00000000" w:rsidRPr="00000000">
              <w:rPr>
                <w:rtl w:val="0"/>
              </w:rPr>
              <w:t xml:space="preserve">MULTIPLE TEXT 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12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35.99999999999994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will…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35.99999999999994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a variety of texts and other resources to provide multiple entry point for student learning.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35.99999999999994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 opportunities for student to consider information, perspectives, and arguments across sources.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35.99999999999994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disciplinary criteria used to evaluate source quality.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6"/>
      <w:tblW w:w="11025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5"/>
      <w:gridCol w:w="6465"/>
      <w:gridCol w:w="735"/>
      <w:gridCol w:w="930"/>
      <w:tblGridChange w:id="0">
        <w:tblGrid>
          <w:gridCol w:w="2895"/>
          <w:gridCol w:w="6465"/>
          <w:gridCol w:w="735"/>
          <w:gridCol w:w="930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2D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1706926" cy="466427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926" cy="4664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2E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F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30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438694" cy="4667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694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