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120" w:line="240" w:lineRule="auto"/>
        <w:rPr/>
      </w:pPr>
      <w:bookmarkStart w:colFirst="0" w:colLast="0" w:name="_y0j4tzmod7fz" w:id="0"/>
      <w:bookmarkEnd w:id="0"/>
      <w:r w:rsidDel="00000000" w:rsidR="00000000" w:rsidRPr="00000000">
        <w:rPr>
          <w:rtl w:val="0"/>
        </w:rPr>
        <w:t xml:space="preserve">BECAUSE, BUT, SO</w:t>
      </w:r>
      <w:r w:rsidDel="00000000" w:rsidR="00000000" w:rsidRPr="00000000">
        <w:rPr>
          <w:rtl w:val="0"/>
        </w:rPr>
      </w:r>
    </w:p>
    <w:tbl>
      <w:tblPr>
        <w:tblStyle w:val="Table1"/>
        <w:tblW w:w="11008.8"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14.4"/>
        <w:gridCol w:w="180"/>
        <w:gridCol w:w="5414.4"/>
        <w:tblGridChange w:id="0">
          <w:tblGrid>
            <w:gridCol w:w="5414.4"/>
            <w:gridCol w:w="180"/>
            <w:gridCol w:w="5414.4"/>
          </w:tblGrid>
        </w:tblGridChange>
      </w:tblGrid>
      <w:tr>
        <w:trPr>
          <w:cantSplit w:val="0"/>
          <w:tblHeader w:val="0"/>
        </w:trPr>
        <w:tc>
          <w:tcPr>
            <w:tcBorders>
              <w:top w:color="1d7ebe" w:space="0" w:sz="4" w:val="single"/>
              <w:left w:color="1d7ebe" w:space="0" w:sz="4" w:val="single"/>
              <w:bottom w:color="1d7ebe" w:space="0" w:sz="4" w:val="single"/>
              <w:right w:color="1d7ebe" w:space="0" w:sz="4" w:val="single"/>
            </w:tcBorders>
            <w:tcMar>
              <w:top w:w="72.0" w:type="dxa"/>
              <w:left w:w="72.0" w:type="dxa"/>
              <w:bottom w:w="72.0" w:type="dxa"/>
              <w:right w:w="72.0" w:type="dxa"/>
            </w:tcMar>
            <w:vAlign w:val="center"/>
          </w:tcPr>
          <w:p w:rsidR="00000000" w:rsidDel="00000000" w:rsidP="00000000" w:rsidRDefault="00000000" w:rsidRPr="00000000" w14:paraId="00000002">
            <w:pPr>
              <w:widowControl w:val="0"/>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NAME:</w:t>
            </w:r>
          </w:p>
        </w:tc>
        <w:tc>
          <w:tcPr>
            <w:tcBorders>
              <w:top w:color="000000" w:space="0" w:sz="0" w:val="nil"/>
              <w:left w:color="1d7ebe" w:space="0" w:sz="4" w:val="single"/>
              <w:bottom w:color="000000" w:space="0" w:sz="0" w:val="nil"/>
              <w:right w:color="1d7ebe" w:space="0" w:sz="4" w:val="single"/>
            </w:tcBorders>
            <w:tcMar>
              <w:top w:w="72.0" w:type="dxa"/>
              <w:left w:w="72.0" w:type="dxa"/>
              <w:bottom w:w="72.0" w:type="dxa"/>
              <w:right w:w="72.0" w:type="dxa"/>
            </w:tcMar>
            <w:vAlign w:val="center"/>
          </w:tcPr>
          <w:p w:rsidR="00000000" w:rsidDel="00000000" w:rsidP="00000000" w:rsidRDefault="00000000" w:rsidRPr="00000000" w14:paraId="00000003">
            <w:pPr>
              <w:widowControl w:val="0"/>
              <w:spacing w:after="0" w:lineRule="auto"/>
              <w:rPr>
                <w:rFonts w:ascii="Calibri" w:cs="Calibri" w:eastAsia="Calibri" w:hAnsi="Calibri"/>
                <w:sz w:val="18"/>
                <w:szCs w:val="18"/>
              </w:rPr>
            </w:pPr>
            <w:r w:rsidDel="00000000" w:rsidR="00000000" w:rsidRPr="00000000">
              <w:rPr>
                <w:rtl w:val="0"/>
              </w:rPr>
            </w:r>
          </w:p>
        </w:tc>
        <w:tc>
          <w:tcPr>
            <w:tcBorders>
              <w:top w:color="1d7ebe" w:space="0" w:sz="4" w:val="single"/>
              <w:left w:color="1d7ebe" w:space="0" w:sz="4" w:val="single"/>
              <w:bottom w:color="1d7ebe" w:space="0" w:sz="4" w:val="single"/>
              <w:right w:color="1d7ebe" w:space="0" w:sz="4" w:val="single"/>
            </w:tcBorders>
            <w:tcMar>
              <w:top w:w="72.0" w:type="dxa"/>
              <w:left w:w="72.0" w:type="dxa"/>
              <w:bottom w:w="72.0" w:type="dxa"/>
              <w:right w:w="72.0" w:type="dxa"/>
            </w:tcMar>
            <w:vAlign w:val="center"/>
          </w:tcPr>
          <w:p w:rsidR="00000000" w:rsidDel="00000000" w:rsidP="00000000" w:rsidRDefault="00000000" w:rsidRPr="00000000" w14:paraId="00000004">
            <w:pPr>
              <w:widowControl w:val="0"/>
              <w:spacing w:after="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DATE:</w:t>
            </w:r>
          </w:p>
        </w:tc>
      </w:tr>
    </w:tbl>
    <w:p w:rsidR="00000000" w:rsidDel="00000000" w:rsidP="00000000" w:rsidRDefault="00000000" w:rsidRPr="00000000" w14:paraId="00000005">
      <w:pPr>
        <w:spacing w:line="240" w:lineRule="auto"/>
        <w:rPr>
          <w:rFonts w:ascii="Calibri" w:cs="Calibri" w:eastAsia="Calibri" w:hAnsi="Calibri"/>
          <w:sz w:val="2"/>
          <w:szCs w:val="2"/>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rPr>
      </w:pPr>
      <w:r w:rsidDel="00000000" w:rsidR="00000000" w:rsidRPr="00000000">
        <w:rPr>
          <w:rtl w:val="0"/>
        </w:rPr>
      </w:r>
    </w:p>
    <w:tbl>
      <w:tblPr>
        <w:tblStyle w:val="Table2"/>
        <w:tblW w:w="110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0"/>
        <w:tblGridChange w:id="0">
          <w:tblGrid>
            <w:gridCol w:w="11010"/>
          </w:tblGrid>
        </w:tblGridChange>
      </w:tblGrid>
      <w:tr>
        <w:trPr>
          <w:cantSplit w:val="0"/>
          <w:tblHeader w:val="0"/>
        </w:trPr>
        <w:tc>
          <w:tcPr>
            <w:tcBorders>
              <w:top w:color="000000" w:space="0" w:sz="0" w:val="nil"/>
              <w:left w:color="000000" w:space="0" w:sz="0" w:val="nil"/>
              <w:bottom w:color="1d7ebe" w:space="0" w:sz="4"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07">
            <w:pPr>
              <w:pStyle w:val="Heading1"/>
              <w:widowControl w:val="0"/>
              <w:rPr/>
            </w:pPr>
            <w:bookmarkStart w:colFirst="0" w:colLast="0" w:name="_78u9eqlbo49" w:id="1"/>
            <w:bookmarkEnd w:id="1"/>
            <w:r w:rsidDel="00000000" w:rsidR="00000000" w:rsidRPr="00000000">
              <w:rPr>
                <w:rtl w:val="0"/>
              </w:rPr>
              <w:t xml:space="preserve">DESCRIPTION</w:t>
            </w:r>
            <w:r w:rsidDel="00000000" w:rsidR="00000000" w:rsidRPr="00000000">
              <w:rPr>
                <w:rtl w:val="0"/>
              </w:rPr>
            </w:r>
          </w:p>
          <w:p w:rsidR="00000000" w:rsidDel="00000000" w:rsidP="00000000" w:rsidRDefault="00000000" w:rsidRPr="00000000" w14:paraId="00000008">
            <w:pPr>
              <w:widowControl w:val="0"/>
              <w:jc w:val="both"/>
              <w:rPr>
                <w:rFonts w:ascii="Calibri" w:cs="Calibri" w:eastAsia="Calibri" w:hAnsi="Calibri"/>
                <w:sz w:val="4"/>
                <w:szCs w:val="4"/>
              </w:rPr>
            </w:pPr>
            <w:r w:rsidDel="00000000" w:rsidR="00000000" w:rsidRPr="00000000">
              <w:rPr>
                <w:rtl w:val="0"/>
              </w:rPr>
            </w:r>
          </w:p>
        </w:tc>
      </w:tr>
    </w:tbl>
    <w:p w:rsidR="00000000" w:rsidDel="00000000" w:rsidP="00000000" w:rsidRDefault="00000000" w:rsidRPr="00000000" w14:paraId="00000009">
      <w:pPr>
        <w:spacing w:line="120" w:lineRule="auto"/>
        <w:rPr>
          <w:sz w:val="12"/>
          <w:szCs w:val="12"/>
        </w:rPr>
      </w:pPr>
      <w:r w:rsidDel="00000000" w:rsidR="00000000" w:rsidRPr="00000000">
        <w:rPr>
          <w:rtl w:val="0"/>
        </w:rPr>
      </w:r>
    </w:p>
    <w:p w:rsidR="00000000" w:rsidDel="00000000" w:rsidP="00000000" w:rsidRDefault="00000000" w:rsidRPr="00000000" w14:paraId="0000000A">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"Because, But, So"  writing strategy is a simple and effective framework used to analyze and communicate cause-and-effect relationships in a clear and concise manner. It is particularly helpful in organizing thoughts, arguments, or explanations in both written and verbal communication. This activity was designed by Hochman and Wexler for The Writing Revolution as a sentence expansion activity to build writing skills.</w:t>
      </w:r>
    </w:p>
    <w:p w:rsidR="00000000" w:rsidDel="00000000" w:rsidP="00000000" w:rsidRDefault="00000000" w:rsidRPr="00000000" w14:paraId="0000000B">
      <w:pPr>
        <w:spacing w:line="240" w:lineRule="auto"/>
        <w:rPr>
          <w:rFonts w:ascii="Calibri" w:cs="Calibri" w:eastAsia="Calibri" w:hAnsi="Calibri"/>
        </w:rPr>
      </w:pPr>
      <w:r w:rsidDel="00000000" w:rsidR="00000000" w:rsidRPr="00000000">
        <w:rPr>
          <w:rtl w:val="0"/>
        </w:rPr>
      </w:r>
    </w:p>
    <w:tbl>
      <w:tblPr>
        <w:tblStyle w:val="Table3"/>
        <w:tblW w:w="110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0"/>
        <w:tblGridChange w:id="0">
          <w:tblGrid>
            <w:gridCol w:w="11010"/>
          </w:tblGrid>
        </w:tblGridChange>
      </w:tblGrid>
      <w:tr>
        <w:trPr>
          <w:cantSplit w:val="0"/>
          <w:tblHeader w:val="0"/>
        </w:trPr>
        <w:tc>
          <w:tcPr>
            <w:tcBorders>
              <w:top w:color="000000" w:space="0" w:sz="0" w:val="nil"/>
              <w:left w:color="000000" w:space="0" w:sz="0" w:val="nil"/>
              <w:bottom w:color="1d7ebe" w:space="0" w:sz="4"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0C">
            <w:pPr>
              <w:pStyle w:val="Heading1"/>
              <w:widowControl w:val="0"/>
              <w:rPr/>
            </w:pPr>
            <w:bookmarkStart w:colFirst="0" w:colLast="0" w:name="_b7ngfgssze9d" w:id="2"/>
            <w:bookmarkEnd w:id="2"/>
            <w:r w:rsidDel="00000000" w:rsidR="00000000" w:rsidRPr="00000000">
              <w:rPr>
                <w:rtl w:val="0"/>
              </w:rPr>
              <w:t xml:space="preserve">HOW IT WORKS</w:t>
            </w:r>
            <w:r w:rsidDel="00000000" w:rsidR="00000000" w:rsidRPr="00000000">
              <w:rPr>
                <w:rtl w:val="0"/>
              </w:rPr>
            </w:r>
          </w:p>
          <w:p w:rsidR="00000000" w:rsidDel="00000000" w:rsidP="00000000" w:rsidRDefault="00000000" w:rsidRPr="00000000" w14:paraId="0000000D">
            <w:pPr>
              <w:widowControl w:val="0"/>
              <w:jc w:val="both"/>
              <w:rPr>
                <w:rFonts w:ascii="Calibri" w:cs="Calibri" w:eastAsia="Calibri" w:hAnsi="Calibri"/>
                <w:sz w:val="4"/>
                <w:szCs w:val="4"/>
              </w:rPr>
            </w:pPr>
            <w:r w:rsidDel="00000000" w:rsidR="00000000" w:rsidRPr="00000000">
              <w:rPr>
                <w:rtl w:val="0"/>
              </w:rPr>
            </w:r>
          </w:p>
        </w:tc>
      </w:tr>
    </w:tbl>
    <w:p w:rsidR="00000000" w:rsidDel="00000000" w:rsidP="00000000" w:rsidRDefault="00000000" w:rsidRPr="00000000" w14:paraId="0000000E">
      <w:pPr>
        <w:spacing w:line="120" w:lineRule="auto"/>
        <w:rPr>
          <w:sz w:val="12"/>
          <w:szCs w:val="12"/>
        </w:rPr>
      </w:pPr>
      <w:r w:rsidDel="00000000" w:rsidR="00000000" w:rsidRPr="00000000">
        <w:rPr>
          <w:rtl w:val="0"/>
        </w:rPr>
      </w:r>
    </w:p>
    <w:p w:rsidR="00000000" w:rsidDel="00000000" w:rsidP="00000000" w:rsidRDefault="00000000" w:rsidRPr="00000000" w14:paraId="0000000F">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This strategy for writing sentences uses 3 parts of a sentence. Putting it all together, the Because, But, So strategy creates a cause-and-effect statement like this:</w:t>
      </w:r>
    </w:p>
    <w:p w:rsidR="00000000" w:rsidDel="00000000" w:rsidP="00000000" w:rsidRDefault="00000000" w:rsidRPr="00000000" w14:paraId="00000010">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1"/>
          <w:color w:val="1d7ebe"/>
          <w:rtl w:val="0"/>
        </w:rPr>
        <w:t xml:space="preserve">Because</w:t>
      </w:r>
      <w:r w:rsidDel="00000000" w:rsidR="00000000" w:rsidRPr="00000000">
        <w:rPr>
          <w:rFonts w:ascii="Calibri" w:cs="Calibri" w:eastAsia="Calibri" w:hAnsi="Calibri"/>
          <w:rtl w:val="0"/>
        </w:rPr>
        <w:t xml:space="preserve"> [cause]</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color w:val="1d7ebe"/>
          <w:rtl w:val="0"/>
        </w:rPr>
        <w:t xml:space="preserve">but </w:t>
      </w:r>
      <w:r w:rsidDel="00000000" w:rsidR="00000000" w:rsidRPr="00000000">
        <w:rPr>
          <w:rFonts w:ascii="Calibri" w:cs="Calibri" w:eastAsia="Calibri" w:hAnsi="Calibri"/>
          <w:rtl w:val="0"/>
        </w:rPr>
        <w:t xml:space="preserve">[obstacle/conflict]</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color w:val="1d7ebe"/>
          <w:rtl w:val="0"/>
        </w:rPr>
        <w:t xml:space="preserve">so </w:t>
      </w:r>
      <w:r w:rsidDel="00000000" w:rsidR="00000000" w:rsidRPr="00000000">
        <w:rPr>
          <w:rFonts w:ascii="Calibri" w:cs="Calibri" w:eastAsia="Calibri" w:hAnsi="Calibri"/>
          <w:rtl w:val="0"/>
        </w:rPr>
        <w:t xml:space="preserve">[effect/result]."</w:t>
      </w:r>
    </w:p>
    <w:p w:rsidR="00000000" w:rsidDel="00000000" w:rsidP="00000000" w:rsidRDefault="00000000" w:rsidRPr="00000000" w14:paraId="00000012">
      <w:pPr>
        <w:rPr>
          <w:rFonts w:ascii="Calibri" w:cs="Calibri" w:eastAsia="Calibri" w:hAnsi="Calibri"/>
        </w:rPr>
      </w:pPr>
      <w:bookmarkStart w:colFirst="0" w:colLast="0" w:name="_fezq0d5zyda3" w:id="3"/>
      <w:bookmarkEnd w:id="3"/>
      <w:r w:rsidDel="00000000" w:rsidR="00000000" w:rsidRPr="00000000">
        <w:rPr>
          <w:rtl w:val="0"/>
        </w:rPr>
      </w:r>
    </w:p>
    <w:tbl>
      <w:tblPr>
        <w:tblStyle w:val="Table4"/>
        <w:tblW w:w="11030.400000000001"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76.8000000000006"/>
        <w:gridCol w:w="3676.8000000000006"/>
        <w:gridCol w:w="3676.8000000000006"/>
        <w:tblGridChange w:id="0">
          <w:tblGrid>
            <w:gridCol w:w="3676.8000000000006"/>
            <w:gridCol w:w="3676.8000000000006"/>
            <w:gridCol w:w="3676.8000000000006"/>
          </w:tblGrid>
        </w:tblGridChange>
      </w:tblGrid>
      <w:tr>
        <w:trPr>
          <w:cantSplit w:val="0"/>
          <w:tblHeader w:val="0"/>
        </w:trPr>
        <w:tc>
          <w:tcPr>
            <w:tcBorders>
              <w:top w:color="1d7ebe" w:space="0" w:sz="4" w:val="single"/>
              <w:left w:color="1d7ebe" w:space="0" w:sz="4" w:val="single"/>
              <w:bottom w:color="1d7ebe" w:space="0" w:sz="4" w:val="single"/>
              <w:right w:color="1d7ebe" w:space="0" w:sz="4" w:val="single"/>
            </w:tcBorders>
            <w:shd w:fill="f3f3f3" w:val="clear"/>
            <w:tcMar>
              <w:top w:w="115.19999999999999" w:type="dxa"/>
              <w:left w:w="115.19999999999999" w:type="dxa"/>
              <w:bottom w:w="115.19999999999999" w:type="dxa"/>
              <w:right w:w="115.19999999999999" w:type="dxa"/>
            </w:tcM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1d7ebe"/>
                <w:sz w:val="24"/>
                <w:szCs w:val="24"/>
              </w:rPr>
            </w:pPr>
            <w:r w:rsidDel="00000000" w:rsidR="00000000" w:rsidRPr="00000000">
              <w:rPr>
                <w:rFonts w:ascii="Calibri" w:cs="Calibri" w:eastAsia="Calibri" w:hAnsi="Calibri"/>
                <w:b w:val="1"/>
                <w:color w:val="1d7ebe"/>
                <w:sz w:val="24"/>
                <w:szCs w:val="24"/>
                <w:rtl w:val="0"/>
              </w:rPr>
              <w:t xml:space="preserve">Because </w:t>
            </w:r>
            <w:r w:rsidDel="00000000" w:rsidR="00000000" w:rsidRPr="00000000">
              <w:rPr>
                <w:rFonts w:ascii="Calibri" w:cs="Calibri" w:eastAsia="Calibri" w:hAnsi="Calibri"/>
                <w:color w:val="1d7ebe"/>
                <w:sz w:val="24"/>
                <w:szCs w:val="24"/>
                <w:rtl w:val="0"/>
              </w:rPr>
              <w:t xml:space="preserve">(cause)</w:t>
            </w:r>
          </w:p>
        </w:tc>
        <w:tc>
          <w:tcPr>
            <w:tcBorders>
              <w:top w:color="1d7ebe" w:space="0" w:sz="4" w:val="single"/>
              <w:left w:color="1d7ebe" w:space="0" w:sz="4" w:val="single"/>
              <w:bottom w:color="1d7ebe" w:space="0" w:sz="4" w:val="single"/>
              <w:right w:color="1d7ebe" w:space="0" w:sz="4" w:val="single"/>
            </w:tcBorders>
            <w:shd w:fill="f3f3f3" w:val="clear"/>
            <w:tcMar>
              <w:top w:w="115.19999999999999" w:type="dxa"/>
              <w:left w:w="115.19999999999999" w:type="dxa"/>
              <w:bottom w:w="115.19999999999999" w:type="dxa"/>
              <w:right w:w="115.19999999999999" w:type="dxa"/>
            </w:tcMa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1d7ebe"/>
                <w:sz w:val="24"/>
                <w:szCs w:val="24"/>
              </w:rPr>
            </w:pPr>
            <w:r w:rsidDel="00000000" w:rsidR="00000000" w:rsidRPr="00000000">
              <w:rPr>
                <w:rFonts w:ascii="Calibri" w:cs="Calibri" w:eastAsia="Calibri" w:hAnsi="Calibri"/>
                <w:b w:val="1"/>
                <w:color w:val="1d7ebe"/>
                <w:sz w:val="24"/>
                <w:szCs w:val="24"/>
                <w:rtl w:val="0"/>
              </w:rPr>
              <w:t xml:space="preserve">But </w:t>
            </w:r>
            <w:r w:rsidDel="00000000" w:rsidR="00000000" w:rsidRPr="00000000">
              <w:rPr>
                <w:rFonts w:ascii="Calibri" w:cs="Calibri" w:eastAsia="Calibri" w:hAnsi="Calibri"/>
                <w:color w:val="1d7ebe"/>
                <w:sz w:val="24"/>
                <w:szCs w:val="24"/>
                <w:rtl w:val="0"/>
              </w:rPr>
              <w:t xml:space="preserve">(obstacle/conflict)</w:t>
            </w:r>
          </w:p>
        </w:tc>
        <w:tc>
          <w:tcPr>
            <w:tcBorders>
              <w:top w:color="1d7ebe" w:space="0" w:sz="4" w:val="single"/>
              <w:left w:color="1d7ebe" w:space="0" w:sz="4" w:val="single"/>
              <w:bottom w:color="1d7ebe" w:space="0" w:sz="4" w:val="single"/>
              <w:right w:color="1d7ebe" w:space="0" w:sz="4" w:val="single"/>
            </w:tcBorders>
            <w:shd w:fill="f3f3f3" w:val="clear"/>
            <w:tcMar>
              <w:top w:w="115.19999999999999" w:type="dxa"/>
              <w:left w:w="115.19999999999999" w:type="dxa"/>
              <w:bottom w:w="115.19999999999999" w:type="dxa"/>
              <w:right w:w="115.19999999999999" w:type="dxa"/>
            </w:tcMa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1d7ebe"/>
                <w:sz w:val="24"/>
                <w:szCs w:val="24"/>
              </w:rPr>
            </w:pPr>
            <w:r w:rsidDel="00000000" w:rsidR="00000000" w:rsidRPr="00000000">
              <w:rPr>
                <w:rFonts w:ascii="Calibri" w:cs="Calibri" w:eastAsia="Calibri" w:hAnsi="Calibri"/>
                <w:b w:val="1"/>
                <w:color w:val="1d7ebe"/>
                <w:sz w:val="24"/>
                <w:szCs w:val="24"/>
                <w:rtl w:val="0"/>
              </w:rPr>
              <w:t xml:space="preserve">So </w:t>
            </w:r>
            <w:r w:rsidDel="00000000" w:rsidR="00000000" w:rsidRPr="00000000">
              <w:rPr>
                <w:rFonts w:ascii="Calibri" w:cs="Calibri" w:eastAsia="Calibri" w:hAnsi="Calibri"/>
                <w:color w:val="1d7ebe"/>
                <w:sz w:val="24"/>
                <w:szCs w:val="24"/>
                <w:rtl w:val="0"/>
              </w:rPr>
              <w:t xml:space="preserve">(effect/result)</w:t>
            </w:r>
          </w:p>
        </w:tc>
      </w:tr>
      <w:tr>
        <w:trPr>
          <w:cantSplit w:val="0"/>
          <w:tblHeader w:val="0"/>
        </w:trPr>
        <w:tc>
          <w:tcPr>
            <w:tcBorders>
              <w:top w:color="1d7ebe" w:space="0" w:sz="4" w:val="single"/>
              <w:left w:color="1d7ebe" w:space="0" w:sz="4" w:val="single"/>
              <w:bottom w:color="1d7ebe" w:space="0" w:sz="4" w:val="single"/>
              <w:right w:color="1d7ebe" w:space="0" w:sz="4" w:val="single"/>
            </w:tcBorders>
            <w:shd w:fill="auto" w:val="clear"/>
            <w:tcMar>
              <w:top w:w="115.19999999999999" w:type="dxa"/>
              <w:left w:w="115.19999999999999" w:type="dxa"/>
              <w:bottom w:w="115.19999999999999" w:type="dxa"/>
              <w:right w:w="115.19999999999999"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 the beginning of the sentence, identify the cause or trigger of an event, situation, or condition. This is the factor that initiates the chain of events and explains “why”. </w:t>
            </w:r>
          </w:p>
        </w:tc>
        <w:tc>
          <w:tcPr>
            <w:tcBorders>
              <w:top w:color="1d7ebe" w:space="0" w:sz="4" w:val="single"/>
              <w:left w:color="1d7ebe" w:space="0" w:sz="4" w:val="single"/>
              <w:bottom w:color="1d7ebe" w:space="0" w:sz="4" w:val="single"/>
              <w:right w:color="1d7ebe" w:space="0" w:sz="4" w:val="single"/>
            </w:tcBorders>
            <w:shd w:fill="auto" w:val="clear"/>
            <w:tcMar>
              <w:top w:w="115.19999999999999" w:type="dxa"/>
              <w:left w:w="115.19999999999999" w:type="dxa"/>
              <w:bottom w:w="115.19999999999999" w:type="dxa"/>
              <w:right w:w="115.19999999999999"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 the second part of the sentence, introduce the obstacle, conflict, or challenge that arises from the initial cause, this should change the direction of the sentence. This “but” provides a complicating factor or point of tension. </w:t>
            </w:r>
          </w:p>
        </w:tc>
        <w:tc>
          <w:tcPr>
            <w:tcBorders>
              <w:top w:color="1d7ebe" w:space="0" w:sz="4" w:val="single"/>
              <w:left w:color="1d7ebe" w:space="0" w:sz="4" w:val="single"/>
              <w:bottom w:color="1d7ebe" w:space="0" w:sz="4" w:val="single"/>
              <w:right w:color="1d7ebe" w:space="0" w:sz="4" w:val="single"/>
            </w:tcBorders>
            <w:shd w:fill="auto" w:val="clear"/>
            <w:tcMar>
              <w:top w:w="115.19999999999999" w:type="dxa"/>
              <w:left w:w="115.19999999999999" w:type="dxa"/>
              <w:bottom w:w="115.19999999999999" w:type="dxa"/>
              <w:right w:w="115.19999999999999"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 the final part of the sentence, state the “So”, the outcome, effect, or result of the initial cause and the subsequent obstacle or conflict. This should explain what happens as a direct consequence of the “Because” and “But”.</w:t>
            </w:r>
          </w:p>
        </w:tc>
      </w:tr>
      <w:tr>
        <w:trPr>
          <w:cantSplit w:val="0"/>
          <w:tblHeader w:val="0"/>
        </w:trPr>
        <w:tc>
          <w:tcPr>
            <w:tcBorders>
              <w:top w:color="1d7ebe" w:space="0" w:sz="4" w:val="single"/>
              <w:left w:color="1d7ebe" w:space="0" w:sz="4" w:val="single"/>
              <w:bottom w:color="1d7ebe" w:space="0" w:sz="4" w:val="single"/>
              <w:right w:color="1d7ebe" w:space="0" w:sz="4" w:val="single"/>
            </w:tcBorders>
            <w:shd w:fill="auto" w:val="clear"/>
            <w:tcMar>
              <w:top w:w="115.19999999999999" w:type="dxa"/>
              <w:left w:w="115.19999999999999" w:type="dxa"/>
              <w:bottom w:w="115.19999999999999" w:type="dxa"/>
              <w:right w:w="115.19999999999999"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Example: </w:t>
            </w:r>
            <w:r w:rsidDel="00000000" w:rsidR="00000000" w:rsidRPr="00000000">
              <w:rPr>
                <w:rFonts w:ascii="Calibri" w:cs="Calibri" w:eastAsia="Calibri" w:hAnsi="Calibri"/>
                <w:rtl w:val="0"/>
              </w:rPr>
              <w:t xml:space="preserve">“Because of the heavy snow, the streets are covered…”</w:t>
            </w:r>
          </w:p>
        </w:tc>
        <w:tc>
          <w:tcPr>
            <w:tcBorders>
              <w:top w:color="1d7ebe" w:space="0" w:sz="4" w:val="single"/>
              <w:left w:color="1d7ebe" w:space="0" w:sz="4" w:val="single"/>
              <w:bottom w:color="1d7ebe" w:space="0" w:sz="4" w:val="single"/>
              <w:right w:color="1d7ebe" w:space="0" w:sz="4" w:val="single"/>
            </w:tcBorders>
            <w:shd w:fill="auto" w:val="clear"/>
            <w:tcMar>
              <w:top w:w="115.19999999999999" w:type="dxa"/>
              <w:left w:w="115.19999999999999" w:type="dxa"/>
              <w:bottom w:w="115.19999999999999" w:type="dxa"/>
              <w:right w:w="115.19999999999999"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Example:</w:t>
            </w:r>
            <w:r w:rsidDel="00000000" w:rsidR="00000000" w:rsidRPr="00000000">
              <w:rPr>
                <w:rFonts w:ascii="Calibri" w:cs="Calibri" w:eastAsia="Calibri" w:hAnsi="Calibri"/>
                <w:rtl w:val="0"/>
              </w:rPr>
              <w:t xml:space="preserve"> “But the city does not have enough plows to clear every street…”</w:t>
            </w:r>
          </w:p>
        </w:tc>
        <w:tc>
          <w:tcPr>
            <w:tcBorders>
              <w:top w:color="1d7ebe" w:space="0" w:sz="4" w:val="single"/>
              <w:left w:color="1d7ebe" w:space="0" w:sz="4" w:val="single"/>
              <w:bottom w:color="1d7ebe" w:space="0" w:sz="4" w:val="single"/>
              <w:right w:color="1d7ebe" w:space="0" w:sz="4" w:val="single"/>
            </w:tcBorders>
            <w:shd w:fill="auto" w:val="clear"/>
            <w:tcMar>
              <w:top w:w="115.19999999999999" w:type="dxa"/>
              <w:left w:w="115.19999999999999" w:type="dxa"/>
              <w:bottom w:w="115.19999999999999" w:type="dxa"/>
              <w:right w:w="115.19999999999999"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rtl w:val="0"/>
              </w:rPr>
              <w:t xml:space="preserve">Example: </w:t>
            </w:r>
            <w:r w:rsidDel="00000000" w:rsidR="00000000" w:rsidRPr="00000000">
              <w:rPr>
                <w:rFonts w:ascii="Calibri" w:cs="Calibri" w:eastAsia="Calibri" w:hAnsi="Calibri"/>
                <w:rtl w:val="0"/>
              </w:rPr>
              <w:t xml:space="preserve">“So most students and teachers did not make it to school today.”</w:t>
            </w:r>
          </w:p>
        </w:tc>
      </w:tr>
    </w:tbl>
    <w:p w:rsidR="00000000" w:rsidDel="00000000" w:rsidP="00000000" w:rsidRDefault="00000000" w:rsidRPr="00000000" w14:paraId="0000001C">
      <w:pPr>
        <w:spacing w:line="240" w:lineRule="auto"/>
        <w:rPr>
          <w:rFonts w:ascii="Calibri" w:cs="Calibri" w:eastAsia="Calibri" w:hAnsi="Calibri"/>
        </w:rPr>
      </w:pPr>
      <w:r w:rsidDel="00000000" w:rsidR="00000000" w:rsidRPr="00000000">
        <w:rPr>
          <w:rtl w:val="0"/>
        </w:rPr>
      </w:r>
    </w:p>
    <w:tbl>
      <w:tblPr>
        <w:tblStyle w:val="Table5"/>
        <w:tblW w:w="1101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10"/>
        <w:tblGridChange w:id="0">
          <w:tblGrid>
            <w:gridCol w:w="11010"/>
          </w:tblGrid>
        </w:tblGridChange>
      </w:tblGrid>
      <w:tr>
        <w:trPr>
          <w:cantSplit w:val="0"/>
          <w:tblHeader w:val="0"/>
        </w:trPr>
        <w:tc>
          <w:tcPr>
            <w:tcBorders>
              <w:top w:color="000000" w:space="0" w:sz="0" w:val="nil"/>
              <w:left w:color="000000" w:space="0" w:sz="0" w:val="nil"/>
              <w:bottom w:color="1d7ebe" w:space="0" w:sz="4" w:val="single"/>
              <w:right w:color="000000" w:space="0" w:sz="0" w:val="nil"/>
            </w:tcBorders>
            <w:tcMar>
              <w:top w:w="0.0" w:type="dxa"/>
              <w:left w:w="0.0" w:type="dxa"/>
              <w:bottom w:w="0.0" w:type="dxa"/>
              <w:right w:w="0.0" w:type="dxa"/>
            </w:tcMar>
            <w:vAlign w:val="top"/>
          </w:tcPr>
          <w:p w:rsidR="00000000" w:rsidDel="00000000" w:rsidP="00000000" w:rsidRDefault="00000000" w:rsidRPr="00000000" w14:paraId="0000001D">
            <w:pPr>
              <w:pStyle w:val="Heading1"/>
              <w:widowControl w:val="0"/>
              <w:rPr/>
            </w:pPr>
            <w:bookmarkStart w:colFirst="0" w:colLast="0" w:name="_4osee7lv63tj" w:id="4"/>
            <w:bookmarkEnd w:id="4"/>
            <w:r w:rsidDel="00000000" w:rsidR="00000000" w:rsidRPr="00000000">
              <w:rPr>
                <w:rtl w:val="0"/>
              </w:rPr>
              <w:t xml:space="preserve">WHY USE BECAUSE, BUT, SO?</w:t>
            </w:r>
          </w:p>
          <w:p w:rsidR="00000000" w:rsidDel="00000000" w:rsidP="00000000" w:rsidRDefault="00000000" w:rsidRPr="00000000" w14:paraId="0000001E">
            <w:pPr>
              <w:widowControl w:val="0"/>
              <w:jc w:val="both"/>
              <w:rPr>
                <w:rFonts w:ascii="Calibri" w:cs="Calibri" w:eastAsia="Calibri" w:hAnsi="Calibri"/>
                <w:sz w:val="4"/>
                <w:szCs w:val="4"/>
              </w:rPr>
            </w:pPr>
            <w:r w:rsidDel="00000000" w:rsidR="00000000" w:rsidRPr="00000000">
              <w:rPr>
                <w:rtl w:val="0"/>
              </w:rPr>
            </w:r>
          </w:p>
        </w:tc>
      </w:tr>
    </w:tbl>
    <w:p w:rsidR="00000000" w:rsidDel="00000000" w:rsidP="00000000" w:rsidRDefault="00000000" w:rsidRPr="00000000" w14:paraId="0000001F">
      <w:pPr>
        <w:spacing w:line="120" w:lineRule="auto"/>
        <w:rPr>
          <w:sz w:val="12"/>
          <w:szCs w:val="12"/>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bookmarkStart w:colFirst="0" w:colLast="0" w:name="_fezq0d5zyda3" w:id="3"/>
      <w:bookmarkEnd w:id="3"/>
      <w:r w:rsidDel="00000000" w:rsidR="00000000" w:rsidRPr="00000000">
        <w:rPr>
          <w:rFonts w:ascii="Calibri" w:cs="Calibri" w:eastAsia="Calibri" w:hAnsi="Calibri"/>
          <w:rtl w:val="0"/>
        </w:rPr>
        <w:t xml:space="preserve">By using this structure, you can break down complex situations or ideas into a clear and structured format, making it easier for both the writer and the reader to understand the cause-and-effect relationships at play. This strategy is versatile and can be applied to various types of writing, such as essays, reports, narratives, and even persuasive arguments, to convey information and arguments effectively.</w:t>
      </w:r>
      <w:r w:rsidDel="00000000" w:rsidR="00000000" w:rsidRPr="00000000">
        <w:rPr>
          <w:rtl w:val="0"/>
        </w:rPr>
      </w:r>
    </w:p>
    <w:sectPr>
      <w:headerReference r:id="rId6" w:type="default"/>
      <w:footerReference r:id="rId7" w:type="default"/>
      <w:pgSz w:h="15840" w:w="12240" w:orient="portrait"/>
      <w:pgMar w:bottom="604.8" w:top="720" w:left="604.8" w:right="604.8" w:header="244.8" w:footer="215.999999999999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tabs>
        <w:tab w:val="center" w:leader="none" w:pos="4680"/>
        <w:tab w:val="right" w:leader="none" w:pos="9360"/>
        <w:tab w:val="right" w:leader="none" w:pos="11040"/>
      </w:tabs>
      <w:spacing w:line="240" w:lineRule="auto"/>
      <w:rPr>
        <w:rFonts w:ascii="Calibri" w:cs="Calibri" w:eastAsia="Calibri" w:hAnsi="Calibri"/>
        <w:sz w:val="24"/>
        <w:szCs w:val="24"/>
      </w:rPr>
    </w:pPr>
    <w:r w:rsidDel="00000000" w:rsidR="00000000" w:rsidRPr="00000000">
      <w:rPr>
        <w:rtl w:val="0"/>
      </w:rPr>
    </w:r>
  </w:p>
  <w:tbl>
    <w:tblPr>
      <w:tblStyle w:val="Table6"/>
      <w:tblW w:w="110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95"/>
      <w:gridCol w:w="6465"/>
      <w:gridCol w:w="735"/>
      <w:gridCol w:w="930"/>
      <w:tblGridChange w:id="0">
        <w:tblGrid>
          <w:gridCol w:w="2895"/>
          <w:gridCol w:w="6465"/>
          <w:gridCol w:w="735"/>
          <w:gridCol w:w="930"/>
        </w:tblGrid>
      </w:tblGridChange>
    </w:tblGrid>
    <w:tr>
      <w:trPr>
        <w:cantSplit w:val="0"/>
        <w:trHeight w:val="105" w:hRule="atLeast"/>
        <w:tblHeader w:val="0"/>
      </w:trPr>
      <w:tc>
        <w:tcPr>
          <w:tcBorders>
            <w:top w:color="1d7ebe" w:space="0" w:sz="4" w:val="single"/>
            <w:left w:color="ffffff" w:space="0" w:sz="8" w:val="single"/>
            <w:bottom w:color="ffffff" w:space="0" w:sz="8" w:val="single"/>
            <w:right w:color="ffffff" w:space="0" w:sz="8" w:val="single"/>
          </w:tcBorders>
          <w:tcMar>
            <w:top w:w="86.4" w:type="dxa"/>
            <w:left w:w="86.4" w:type="dxa"/>
            <w:bottom w:w="86.4" w:type="dxa"/>
            <w:right w:w="86.4" w:type="dxa"/>
          </w:tcMar>
          <w:vAlign w:val="center"/>
        </w:tcPr>
        <w:p w:rsidR="00000000" w:rsidDel="00000000" w:rsidP="00000000" w:rsidRDefault="00000000" w:rsidRPr="00000000" w14:paraId="00000023">
          <w:pPr>
            <w:tabs>
              <w:tab w:val="center" w:leader="none" w:pos="4680"/>
              <w:tab w:val="right" w:leader="none" w:pos="9360"/>
              <w:tab w:val="right" w:leader="none" w:pos="11040"/>
            </w:tabs>
            <w:spacing w:line="240" w:lineRule="auto"/>
            <w:rPr>
              <w:rFonts w:ascii="Calibri" w:cs="Calibri" w:eastAsia="Calibri" w:hAnsi="Calibri"/>
              <w:b w:val="1"/>
              <w:sz w:val="12"/>
              <w:szCs w:val="12"/>
            </w:rPr>
          </w:pPr>
          <w:r w:rsidDel="00000000" w:rsidR="00000000" w:rsidRPr="00000000">
            <w:rPr>
              <w:rFonts w:ascii="Calibri" w:cs="Calibri" w:eastAsia="Calibri" w:hAnsi="Calibri"/>
              <w:b w:val="1"/>
              <w:sz w:val="12"/>
              <w:szCs w:val="12"/>
            </w:rPr>
            <w:drawing>
              <wp:inline distB="114300" distT="114300" distL="114300" distR="114300">
                <wp:extent cx="1706926" cy="466427"/>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06926" cy="466427"/>
                        </a:xfrm>
                        <a:prstGeom prst="rect"/>
                        <a:ln/>
                      </pic:spPr>
                    </pic:pic>
                  </a:graphicData>
                </a:graphic>
              </wp:inline>
            </w:drawing>
          </w:r>
          <w:r w:rsidDel="00000000" w:rsidR="00000000" w:rsidRPr="00000000">
            <w:rPr>
              <w:rtl w:val="0"/>
            </w:rPr>
          </w:r>
        </w:p>
      </w:tc>
      <w:tc>
        <w:tcPr>
          <w:tcBorders>
            <w:top w:color="1d7ebe" w:space="0" w:sz="4" w:val="single"/>
            <w:left w:color="ffffff" w:space="0" w:sz="8" w:val="single"/>
            <w:bottom w:color="ffffff" w:space="0" w:sz="8" w:val="single"/>
            <w:right w:color="ffffff" w:space="0" w:sz="8" w:val="single"/>
          </w:tcBorders>
          <w:tcMar>
            <w:top w:w="86.4" w:type="dxa"/>
            <w:left w:w="86.4" w:type="dxa"/>
            <w:bottom w:w="86.4" w:type="dxa"/>
            <w:right w:w="86.4" w:type="dxa"/>
          </w:tcMar>
          <w:vAlign w:val="center"/>
        </w:tcPr>
        <w:p w:rsidR="00000000" w:rsidDel="00000000" w:rsidP="00000000" w:rsidRDefault="00000000" w:rsidRPr="00000000" w14:paraId="00000024">
          <w:pPr>
            <w:tabs>
              <w:tab w:val="center" w:leader="none" w:pos="4680"/>
              <w:tab w:val="right" w:leader="none" w:pos="9360"/>
              <w:tab w:val="right" w:leader="none" w:pos="11040"/>
            </w:tabs>
            <w:spacing w:line="240" w:lineRule="auto"/>
            <w:rPr>
              <w:rFonts w:ascii="Calibri" w:cs="Calibri" w:eastAsia="Calibri" w:hAnsi="Calibri"/>
              <w:i w:val="1"/>
              <w:sz w:val="12"/>
              <w:szCs w:val="12"/>
            </w:rPr>
          </w:pPr>
          <w:r w:rsidDel="00000000" w:rsidR="00000000" w:rsidRPr="00000000">
            <w:rPr>
              <w:rFonts w:ascii="Calibri" w:cs="Calibri" w:eastAsia="Calibri" w:hAnsi="Calibri"/>
              <w:b w:val="1"/>
              <w:sz w:val="12"/>
              <w:szCs w:val="12"/>
              <w:rtl w:val="0"/>
            </w:rPr>
            <w:t xml:space="preserve">Hochman and Wexler.</w:t>
          </w:r>
          <w:r w:rsidDel="00000000" w:rsidR="00000000" w:rsidRPr="00000000">
            <w:rPr>
              <w:rFonts w:ascii="Calibri" w:cs="Calibri" w:eastAsia="Calibri" w:hAnsi="Calibri"/>
              <w:sz w:val="12"/>
              <w:szCs w:val="12"/>
              <w:rtl w:val="0"/>
            </w:rPr>
            <w:t xml:space="preserve"> </w:t>
          </w:r>
          <w:r w:rsidDel="00000000" w:rsidR="00000000" w:rsidRPr="00000000">
            <w:rPr>
              <w:rFonts w:ascii="Calibri" w:cs="Calibri" w:eastAsia="Calibri" w:hAnsi="Calibri"/>
              <w:i w:val="1"/>
              <w:sz w:val="12"/>
              <w:szCs w:val="12"/>
              <w:rtl w:val="0"/>
            </w:rPr>
            <w:t xml:space="preserve">The Writing Revolution.</w:t>
          </w:r>
          <w:r w:rsidDel="00000000" w:rsidR="00000000" w:rsidRPr="00000000">
            <w:rPr>
              <w:rtl w:val="0"/>
            </w:rPr>
          </w:r>
        </w:p>
      </w:tc>
      <w:tc>
        <w:tcPr>
          <w:tcBorders>
            <w:top w:color="1d7ebe" w:space="0" w:sz="4" w:val="single"/>
            <w:left w:color="ffffff" w:space="0" w:sz="8" w:val="single"/>
            <w:bottom w:color="ffffff" w:space="0" w:sz="8" w:val="single"/>
            <w:right w:color="ffffff" w:space="0" w:sz="8" w:val="single"/>
          </w:tcBorders>
          <w:tcMar>
            <w:top w:w="0.0" w:type="dxa"/>
            <w:left w:w="0.0" w:type="dxa"/>
            <w:bottom w:w="0.0" w:type="dxa"/>
            <w:right w:w="0.0" w:type="dxa"/>
          </w:tcMar>
          <w:vAlign w:val="center"/>
        </w:tcPr>
        <w:p w:rsidR="00000000" w:rsidDel="00000000" w:rsidP="00000000" w:rsidRDefault="00000000" w:rsidRPr="00000000" w14:paraId="00000025">
          <w:pPr>
            <w:tabs>
              <w:tab w:val="center" w:leader="none" w:pos="4680"/>
              <w:tab w:val="right" w:leader="none" w:pos="9360"/>
              <w:tab w:val="right" w:leader="none" w:pos="11040"/>
            </w:tabs>
            <w:spacing w:line="240" w:lineRule="auto"/>
            <w:jc w:val="center"/>
            <w:rPr>
              <w:rFonts w:ascii="Calibri" w:cs="Calibri" w:eastAsia="Calibri" w:hAnsi="Calibri"/>
              <w:b w:val="1"/>
              <w:sz w:val="12"/>
              <w:szCs w:val="12"/>
            </w:rPr>
          </w:pPr>
          <w:r w:rsidDel="00000000" w:rsidR="00000000" w:rsidRPr="00000000">
            <w:rPr>
              <w:rFonts w:ascii="Calibri" w:cs="Calibri" w:eastAsia="Calibri" w:hAnsi="Calibri"/>
              <w:b w:val="1"/>
              <w:sz w:val="12"/>
              <w:szCs w:val="12"/>
            </w:rPr>
            <w:drawing>
              <wp:inline distB="114300" distT="114300" distL="114300" distR="114300">
                <wp:extent cx="310217" cy="310217"/>
                <wp:effectExtent b="0" l="0" r="0" t="0"/>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10217" cy="310217"/>
                        </a:xfrm>
                        <a:prstGeom prst="rect"/>
                        <a:ln/>
                      </pic:spPr>
                    </pic:pic>
                  </a:graphicData>
                </a:graphic>
              </wp:inline>
            </w:drawing>
          </w:r>
          <w:r w:rsidDel="00000000" w:rsidR="00000000" w:rsidRPr="00000000">
            <w:rPr>
              <w:rtl w:val="0"/>
            </w:rPr>
          </w:r>
        </w:p>
      </w:tc>
      <w:tc>
        <w:tcPr>
          <w:tcBorders>
            <w:top w:color="1d7ebe" w:space="0" w:sz="4" w:val="single"/>
            <w:left w:color="ffffff" w:space="0" w:sz="8" w:val="single"/>
            <w:bottom w:color="ffffff" w:space="0" w:sz="8" w:val="single"/>
            <w:right w:color="ffffff" w:space="0" w:sz="8" w:val="single"/>
          </w:tcBorders>
          <w:tcMar>
            <w:top w:w="86.4" w:type="dxa"/>
            <w:left w:w="86.4" w:type="dxa"/>
            <w:bottom w:w="86.4" w:type="dxa"/>
            <w:right w:w="86.4" w:type="dxa"/>
          </w:tcMar>
          <w:vAlign w:val="center"/>
        </w:tcPr>
        <w:p w:rsidR="00000000" w:rsidDel="00000000" w:rsidP="00000000" w:rsidRDefault="00000000" w:rsidRPr="00000000" w14:paraId="00000026">
          <w:pPr>
            <w:tabs>
              <w:tab w:val="center" w:leader="none" w:pos="4680"/>
              <w:tab w:val="right" w:leader="none" w:pos="9360"/>
              <w:tab w:val="right" w:leader="none" w:pos="11040"/>
            </w:tabs>
            <w:spacing w:line="240" w:lineRule="auto"/>
            <w:jc w:val="right"/>
            <w:rPr>
              <w:rFonts w:ascii="Calibri" w:cs="Calibri" w:eastAsia="Calibri" w:hAnsi="Calibri"/>
              <w:b w:val="1"/>
              <w:sz w:val="12"/>
              <w:szCs w:val="12"/>
            </w:rPr>
          </w:pPr>
          <w:r w:rsidDel="00000000" w:rsidR="00000000" w:rsidRPr="00000000">
            <w:rPr>
              <w:rFonts w:ascii="Calibri" w:cs="Calibri" w:eastAsia="Calibri" w:hAnsi="Calibri"/>
              <w:b w:val="1"/>
              <w:sz w:val="12"/>
              <w:szCs w:val="12"/>
            </w:rPr>
            <w:drawing>
              <wp:inline distB="114300" distT="114300" distL="114300" distR="114300">
                <wp:extent cx="438694" cy="466725"/>
                <wp:effectExtent b="0" l="0" r="0" t="0"/>
                <wp:docPr id="2"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438694" cy="4667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right" w:leader="none" w:pos="11040"/>
      </w:tabs>
      <w:spacing w:after="0" w:before="0" w:line="240" w:lineRule="auto"/>
      <w:ind w:left="0" w:right="0" w:firstLine="0"/>
      <w:jc w:val="left"/>
      <w:rPr>
        <w:rFonts w:ascii="Calibri" w:cs="Calibri" w:eastAsia="Calibri" w:hAnsi="Calibri"/>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both"/>
    </w:pPr>
    <w:rPr>
      <w:rFonts w:ascii="Calibri" w:cs="Calibri" w:eastAsia="Calibri" w:hAnsi="Calibri"/>
      <w:color w:val="1d7ebe"/>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spacing w:after="120" w:line="360" w:lineRule="auto"/>
    </w:pPr>
    <w:rPr>
      <w:rFonts w:ascii="Calibri" w:cs="Calibri" w:eastAsia="Calibri" w:hAnsi="Calibri"/>
      <w:b w:val="1"/>
      <w:smallCaps w:val="1"/>
      <w:color w:val="1d7ebe"/>
      <w:sz w:val="36"/>
      <w:szCs w:val="36"/>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