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120" w:line="240" w:lineRule="auto"/>
        <w:rPr/>
      </w:pPr>
      <w:bookmarkStart w:colFirst="0" w:colLast="0" w:name="_heading=h.ugr7f28j342q" w:id="0"/>
      <w:bookmarkEnd w:id="0"/>
      <w:r w:rsidDel="00000000" w:rsidR="00000000" w:rsidRPr="00000000">
        <w:rPr>
          <w:rtl w:val="0"/>
        </w:rPr>
        <w:t xml:space="preserve">QAR QUESTIONS</w:t>
      </w:r>
    </w:p>
    <w:tbl>
      <w:tblPr>
        <w:tblStyle w:val="Table1"/>
        <w:tblW w:w="11008.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14.4"/>
        <w:gridCol w:w="180"/>
        <w:gridCol w:w="5414.4"/>
        <w:tblGridChange w:id="0">
          <w:tblGrid>
            <w:gridCol w:w="5414.4"/>
            <w:gridCol w:w="180"/>
            <w:gridCol w:w="5414.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0" w:val="nil"/>
              <w:left w:color="1d7ebe" w:space="0" w:sz="4" w:val="single"/>
              <w:bottom w:color="000000" w:space="0" w:sz="0" w:val="nil"/>
              <w:right w:color="1d7ebe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DATE:</w:t>
            </w:r>
          </w:p>
        </w:tc>
      </w:tr>
    </w:tbl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10.23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.239999999998"/>
        <w:tblGridChange w:id="0">
          <w:tblGrid>
            <w:gridCol w:w="11010.2399999999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TOPIC: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000000" w:space="0" w:sz="0" w:val="nil"/>
              <w:bottom w:color="1d7ebe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6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This strategy helps us develop strong question-answering skills by understanding question types and employing them to deepen our understanding of a text.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bookmarkStart w:colFirst="0" w:colLast="0" w:name="_heading=h.8akp494fr8ze" w:id="1"/>
      <w:bookmarkEnd w:id="1"/>
      <w:r w:rsidDel="00000000" w:rsidR="00000000" w:rsidRPr="00000000">
        <w:rPr>
          <w:rtl w:val="0"/>
        </w:rPr>
      </w:r>
    </w:p>
    <w:tbl>
      <w:tblPr>
        <w:tblStyle w:val="Table3"/>
        <w:tblW w:w="11010.23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.239999999998"/>
        <w:tblGridChange w:id="0">
          <w:tblGrid>
            <w:gridCol w:w="11010.2399999999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  <w:rtl w:val="0"/>
              </w:rPr>
              <w:t xml:space="preserve">Right There: Literal questions to which the answers are right there in the text.</w:t>
            </w:r>
          </w:p>
        </w:tc>
      </w:tr>
      <w:tr>
        <w:trPr>
          <w:cantSplit w:val="0"/>
          <w:trHeight w:val="1785.6" w:hRule="atLeast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Who? Where? What? When?</w:t>
            </w:r>
          </w:p>
        </w:tc>
      </w:tr>
    </w:tbl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10.23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.239999999998"/>
        <w:tblGridChange w:id="0">
          <w:tblGrid>
            <w:gridCol w:w="11010.2399999999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  <w:rtl w:val="0"/>
              </w:rPr>
              <w:t xml:space="preserve">Think and Search: Search across several passages of the text and make connections to find the answer.</w:t>
            </w:r>
          </w:p>
        </w:tc>
      </w:tr>
      <w:tr>
        <w:trPr>
          <w:cantSplit w:val="0"/>
          <w:trHeight w:val="1785.6" w:hRule="atLeast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What caused …? How ...?  Was …? Contrast/compare …  Explain …</w:t>
            </w:r>
          </w:p>
        </w:tc>
      </w:tr>
    </w:tbl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010.23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.239999999998"/>
        <w:tblGridChange w:id="0">
          <w:tblGrid>
            <w:gridCol w:w="11010.2399999999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  <w:rtl w:val="0"/>
              </w:rPr>
              <w:t xml:space="preserve">Author and You: Based on the information in the text, what do you think or feel about the reading?</w:t>
            </w:r>
          </w:p>
        </w:tc>
      </w:tr>
      <w:tr>
        <w:trPr>
          <w:cantSplit w:val="0"/>
          <w:trHeight w:val="1785.6" w:hRule="atLeast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Why did the author write …?  How can you tell …? How do you think the author feels about …? 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010.23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.239999999998"/>
        <w:tblGridChange w:id="0">
          <w:tblGrid>
            <w:gridCol w:w="11010.2399999999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1d7ebe"/>
                <w:sz w:val="24"/>
                <w:szCs w:val="24"/>
                <w:rtl w:val="0"/>
              </w:rPr>
              <w:t xml:space="preserve">On My Own: Use your prior knowledge and opinions to answer.</w:t>
            </w:r>
          </w:p>
        </w:tc>
      </w:tr>
      <w:tr>
        <w:trPr>
          <w:cantSplit w:val="0"/>
          <w:trHeight w:val="1785.6" w:hRule="atLeast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How has [the topic] impacted your life? Do you believe …? How would you feel if …?</w:t>
            </w:r>
          </w:p>
        </w:tc>
      </w:tr>
    </w:tbl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604.8" w:top="720" w:left="604.8" w:right="604.8" w:header="244.8" w:footer="215.999999999999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center" w:leader="none" w:pos="4680"/>
        <w:tab w:val="right" w:leader="none" w:pos="9360"/>
        <w:tab w:val="right" w:leader="none" w:pos="11040"/>
      </w:tabs>
      <w:spacing w:line="240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7"/>
      <w:tblW w:w="11025.84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895"/>
      <w:gridCol w:w="7395.84"/>
      <w:gridCol w:w="735"/>
      <w:tblGridChange w:id="0">
        <w:tblGrid>
          <w:gridCol w:w="2895"/>
          <w:gridCol w:w="7395.84"/>
          <w:gridCol w:w="735"/>
        </w:tblGrid>
      </w:tblGridChange>
    </w:tblGrid>
    <w:tr>
      <w:trPr>
        <w:cantSplit w:val="0"/>
        <w:trHeight w:val="105" w:hRule="atLeast"/>
        <w:tblHeader w:val="0"/>
      </w:trPr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17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  <w:drawing>
              <wp:inline distB="114300" distT="114300" distL="114300" distR="114300">
                <wp:extent cx="1591056" cy="365007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056" cy="36500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18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  <w:rtl w:val="0"/>
            </w:rPr>
            <w:t xml:space="preserve">Fisher, D., and Frey, N, (2004).</w:t>
          </w:r>
          <w:r w:rsidDel="00000000" w:rsidR="00000000" w:rsidRPr="00000000">
            <w:rPr>
              <w:rFonts w:ascii="Calibri" w:cs="Calibri" w:eastAsia="Calibri" w:hAnsi="Calibri"/>
              <w:sz w:val="12"/>
              <w:szCs w:val="12"/>
              <w:rtl w:val="0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i w:val="1"/>
              <w:iCs w:val="1"/>
              <w:sz w:val="12"/>
              <w:szCs w:val="12"/>
              <w:rtl w:val="0"/>
            </w:rPr>
            <w:t xml:space="preserve">Improving Adolescent Literacy: Strategies at Work. New Jersey. </w:t>
          </w:r>
          <w:r w:rsidDel="00000000" w:rsidR="00000000" w:rsidRPr="00000000">
            <w:rPr>
              <w:rFonts w:ascii="Calibri" w:cs="Calibri" w:eastAsia="Calibri" w:hAnsi="Calibri"/>
              <w:sz w:val="12"/>
              <w:szCs w:val="12"/>
              <w:rtl w:val="0"/>
            </w:rPr>
            <w:t xml:space="preserve">Pearson Prentice Hall.</w:t>
          </w:r>
        </w:p>
        <w:p w:rsidR="00000000" w:rsidDel="00000000" w:rsidP="00000000" w:rsidRDefault="00000000" w:rsidRPr="00000000" w14:paraId="00000019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  <w:rtl w:val="0"/>
            </w:rPr>
            <w:t xml:space="preserve">Raphael, T.E., &amp; Au, K.H. (2005).</w:t>
          </w:r>
          <w:r w:rsidDel="00000000" w:rsidR="00000000" w:rsidRPr="00000000">
            <w:rPr>
              <w:rFonts w:ascii="Calibri" w:cs="Calibri" w:eastAsia="Calibri" w:hAnsi="Calibri"/>
              <w:sz w:val="12"/>
              <w:szCs w:val="12"/>
              <w:rtl w:val="0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i w:val="1"/>
              <w:iCs w:val="1"/>
              <w:sz w:val="12"/>
              <w:szCs w:val="12"/>
              <w:rtl w:val="0"/>
            </w:rPr>
            <w:t xml:space="preserve">QAR: Enhancing comprehension and test taking across grades and content areas.</w:t>
          </w:r>
          <w:r w:rsidDel="00000000" w:rsidR="00000000" w:rsidRPr="00000000">
            <w:rPr>
              <w:rFonts w:ascii="Calibri" w:cs="Calibri" w:eastAsia="Calibri" w:hAnsi="Calibri"/>
              <w:sz w:val="12"/>
              <w:szCs w:val="12"/>
              <w:rtl w:val="0"/>
            </w:rPr>
            <w:t xml:space="preserve"> The Reading Teacher, 59, 206-221.</w:t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1A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12"/>
              <w:szCs w:val="12"/>
            </w:rPr>
            <w:drawing>
              <wp:inline distB="114300" distT="114300" distL="114300" distR="114300">
                <wp:extent cx="310217" cy="310217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217" cy="3102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10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rFonts w:ascii="Calibri" w:cs="Calibri" w:eastAsia="Calibri" w:hAnsi="Calibri"/>
      <w:color w:val="1d7eb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360" w:lineRule="auto"/>
    </w:pPr>
    <w:rPr>
      <w:rFonts w:ascii="Calibri" w:cs="Calibri" w:eastAsia="Calibri" w:hAnsi="Calibri"/>
      <w:b w:val="1"/>
      <w:bCs w:val="1"/>
      <w:smallCaps w:val="1"/>
      <w:color w:val="1d7ebe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nvd5T+2ipGRG+1E9uxSlIUAnaQ==">CgMxLjAyDmgudWdyN2YyOGozNDJxMg5oLjhha3A0OTRmcjh6ZTgAciExZUY0YnlJQkJ5aW42NDZObEROb3ZydnMwOEc4WVZMVmg=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